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81" w:rsidRDefault="005564B1">
      <w:pPr>
        <w:spacing w:after="700"/>
        <w:ind w:left="0" w:firstLine="0"/>
      </w:pPr>
      <w:r>
        <w:t>附件</w:t>
      </w:r>
      <w:r>
        <w:rPr>
          <w:rFonts w:ascii="Times New Roman" w:eastAsia="Times New Roman" w:hAnsi="Times New Roman" w:cs="Times New Roman"/>
        </w:rPr>
        <w:t>1</w:t>
      </w:r>
    </w:p>
    <w:p w:rsidR="00767581" w:rsidRDefault="005564B1">
      <w:pPr>
        <w:pStyle w:val="1"/>
      </w:pPr>
      <w:bookmarkStart w:id="0" w:name="_GoBack"/>
      <w:r>
        <w:rPr>
          <w:rFonts w:ascii="Times New Roman" w:eastAsia="Times New Roman" w:hAnsi="Times New Roman" w:cs="Times New Roman"/>
        </w:rPr>
        <w:t>2025</w:t>
      </w:r>
      <w:r>
        <w:t>年全省乡村振兴软科学课题研究选题指南</w:t>
      </w:r>
    </w:p>
    <w:bookmarkEnd w:id="0"/>
    <w:p w:rsidR="00767581" w:rsidRDefault="005564B1">
      <w:pPr>
        <w:numPr>
          <w:ilvl w:val="0"/>
          <w:numId w:val="1"/>
        </w:numPr>
        <w:ind w:firstLine="641"/>
      </w:pPr>
      <w:r>
        <w:t>全省粮油产能提升路径研究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全面提升农业防灾减灾能力研究</w:t>
      </w:r>
    </w:p>
    <w:p w:rsidR="00767581" w:rsidRDefault="005564B1">
      <w:pPr>
        <w:numPr>
          <w:ilvl w:val="0"/>
          <w:numId w:val="1"/>
        </w:numPr>
        <w:spacing w:after="1" w:line="345" w:lineRule="auto"/>
        <w:ind w:firstLine="641"/>
      </w:pPr>
      <w:r>
        <w:t>耕地利用优先序导向下基本农作物种植管理体系构建研究</w:t>
      </w:r>
    </w:p>
    <w:p w:rsidR="00767581" w:rsidRDefault="005564B1">
      <w:pPr>
        <w:numPr>
          <w:ilvl w:val="0"/>
          <w:numId w:val="1"/>
        </w:numPr>
        <w:ind w:firstLine="641"/>
      </w:pPr>
      <w:r>
        <w:t>高标准农田认定和分类分级评价工作研究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江苏生猪稳产保供南北对接生态补偿机制政策措施研究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深远海设施渔业的发展路径研究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发展大水面生态渔业的江苏路径研究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农机</w:t>
      </w:r>
      <w:proofErr w:type="gramStart"/>
      <w:r>
        <w:t>化促进</w:t>
      </w:r>
      <w:proofErr w:type="gramEnd"/>
      <w:r>
        <w:t>粮食单产提升路径研究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智慧农业应用中的问题与对策研究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提升江苏生物育种创新能力路径与政策研究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lastRenderedPageBreak/>
        <w:t>推进江苏生物农药产业发展的对策研究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t>畜禽养殖臭气排放的现状调查分析</w:t>
      </w:r>
      <w:proofErr w:type="gramStart"/>
      <w:r>
        <w:t>与减控对策</w:t>
      </w:r>
      <w:proofErr w:type="gramEnd"/>
      <w:r>
        <w:t>建议</w:t>
      </w:r>
    </w:p>
    <w:p w:rsidR="00767581" w:rsidRDefault="005564B1">
      <w:pPr>
        <w:numPr>
          <w:ilvl w:val="0"/>
          <w:numId w:val="1"/>
        </w:numPr>
        <w:ind w:firstLine="641"/>
      </w:pPr>
      <w:r>
        <w:rPr>
          <w:rFonts w:ascii="Times New Roman" w:eastAsia="Times New Roman" w:hAnsi="Times New Roman" w:cs="Times New Roman"/>
        </w:rPr>
        <w:t>“</w:t>
      </w:r>
      <w:r>
        <w:t>十五五</w:t>
      </w:r>
      <w:r>
        <w:rPr>
          <w:rFonts w:ascii="Times New Roman" w:eastAsia="Times New Roman" w:hAnsi="Times New Roman" w:cs="Times New Roman"/>
        </w:rPr>
        <w:t>”</w:t>
      </w:r>
      <w:r>
        <w:t>江苏现代农业园区建设思路研究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江苏农业科技创新与产业创新融合发展相关问题研究</w:t>
      </w:r>
    </w:p>
    <w:p w:rsidR="00767581" w:rsidRDefault="005564B1">
      <w:pPr>
        <w:numPr>
          <w:ilvl w:val="0"/>
          <w:numId w:val="1"/>
        </w:numPr>
        <w:spacing w:line="345" w:lineRule="auto"/>
        <w:ind w:firstLine="641"/>
      </w:pPr>
      <w:r>
        <w:t>江苏农业科技领军型企业高质量发展制约因素与突破路径研究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放大</w:t>
      </w:r>
      <w:r>
        <w:rPr>
          <w:rFonts w:ascii="Times New Roman" w:eastAsia="Times New Roman" w:hAnsi="Times New Roman" w:cs="Times New Roman"/>
        </w:rPr>
        <w:t>“</w:t>
      </w:r>
      <w:r>
        <w:t>戴庄效应</w:t>
      </w:r>
      <w:r>
        <w:rPr>
          <w:rFonts w:ascii="Times New Roman" w:eastAsia="Times New Roman" w:hAnsi="Times New Roman" w:cs="Times New Roman"/>
        </w:rPr>
        <w:t xml:space="preserve">” </w:t>
      </w:r>
      <w:r>
        <w:t>持续推动江苏农业绿色转型发展研究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江苏乡村新产业新业态内涵与模式研究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推进全产业链建设提升食物开发价值链的江苏路径研究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江苏特色农产品电商发展路径与对策研究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t>健全帮扶产业联农带农机制研究</w:t>
      </w:r>
    </w:p>
    <w:p w:rsidR="00767581" w:rsidRDefault="005564B1">
      <w:pPr>
        <w:numPr>
          <w:ilvl w:val="0"/>
          <w:numId w:val="1"/>
        </w:numPr>
        <w:ind w:firstLine="641"/>
      </w:pPr>
      <w:r>
        <w:t>苏南片区新型农村集体经济发展路径及机制研究</w:t>
      </w:r>
    </w:p>
    <w:p w:rsidR="00767581" w:rsidRDefault="005564B1">
      <w:pPr>
        <w:numPr>
          <w:ilvl w:val="0"/>
          <w:numId w:val="1"/>
        </w:numPr>
        <w:ind w:firstLine="641"/>
      </w:pPr>
      <w:r>
        <w:lastRenderedPageBreak/>
        <w:t>引导鼓励返乡就业创业的支持政策研究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扩大乡村有效投资的载体和路径研究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江苏宜</w:t>
      </w:r>
      <w:proofErr w:type="gramStart"/>
      <w:r>
        <w:t>居宜业</w:t>
      </w:r>
      <w:proofErr w:type="gramEnd"/>
      <w:r>
        <w:t>和美乡村片区建设协同发展相关问题研究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探索金融支持乡村建设产品和模式研究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江苏农村住房翻新翻建的瓶颈与对策研究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t>县域内基本公共服务多元供给机制研究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新时代乡</w:t>
      </w:r>
      <w:proofErr w:type="gramStart"/>
      <w:r>
        <w:t>风文明</w:t>
      </w:r>
      <w:proofErr w:type="gramEnd"/>
      <w:r>
        <w:t>建设工程的创新模式与长效机制研究</w:t>
      </w:r>
    </w:p>
    <w:p w:rsidR="00767581" w:rsidRDefault="005564B1">
      <w:pPr>
        <w:numPr>
          <w:ilvl w:val="0"/>
          <w:numId w:val="1"/>
        </w:numPr>
        <w:ind w:firstLine="641"/>
      </w:pPr>
      <w:r>
        <w:t>乡村文化传播助力乡村治理的路径研究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江苏城乡融合发展中要素流动的机制、障碍与对策研究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江苏农村集体建设用地利用问题与对策研究</w:t>
      </w:r>
    </w:p>
    <w:p w:rsidR="00767581" w:rsidRDefault="005564B1">
      <w:pPr>
        <w:numPr>
          <w:ilvl w:val="0"/>
          <w:numId w:val="1"/>
        </w:numPr>
        <w:spacing w:after="108"/>
        <w:ind w:firstLine="641"/>
      </w:pPr>
      <w:r>
        <w:t>支农专项资金绩效评价改进对策研究</w:t>
      </w:r>
    </w:p>
    <w:p w:rsidR="00767581" w:rsidRDefault="005564B1">
      <w:pPr>
        <w:numPr>
          <w:ilvl w:val="0"/>
          <w:numId w:val="1"/>
        </w:numPr>
        <w:ind w:firstLine="641"/>
      </w:pPr>
      <w:r>
        <w:t>江苏区域性农业综合服务中心发展路径与机制研究</w:t>
      </w:r>
    </w:p>
    <w:sectPr w:rsidR="00767581">
      <w:pgSz w:w="11906" w:h="16838"/>
      <w:pgMar w:top="2259" w:right="1586" w:bottom="2456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85F28"/>
    <w:multiLevelType w:val="hybridMultilevel"/>
    <w:tmpl w:val="7568ACAA"/>
    <w:lvl w:ilvl="0" w:tplc="69DED0DE">
      <w:start w:val="1"/>
      <w:numFmt w:val="decimal"/>
      <w:lvlText w:val="%1、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05CA69C">
      <w:start w:val="1"/>
      <w:numFmt w:val="lowerLetter"/>
      <w:lvlText w:val="%2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84E67A">
      <w:start w:val="1"/>
      <w:numFmt w:val="lowerRoman"/>
      <w:lvlText w:val="%3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C05BF4">
      <w:start w:val="1"/>
      <w:numFmt w:val="decimal"/>
      <w:lvlText w:val="%4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D6F73C">
      <w:start w:val="1"/>
      <w:numFmt w:val="lowerLetter"/>
      <w:lvlText w:val="%5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7E05A2">
      <w:start w:val="1"/>
      <w:numFmt w:val="lowerRoman"/>
      <w:lvlText w:val="%6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764D34">
      <w:start w:val="1"/>
      <w:numFmt w:val="decimal"/>
      <w:lvlText w:val="%7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14A4A6">
      <w:start w:val="1"/>
      <w:numFmt w:val="lowerLetter"/>
      <w:lvlText w:val="%8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E2CCF50">
      <w:start w:val="1"/>
      <w:numFmt w:val="lowerRoman"/>
      <w:lvlText w:val="%9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1"/>
    <w:rsid w:val="005564B1"/>
    <w:rsid w:val="007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54C25F-C651-49A2-91CC-CAEE9DD2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3" w:line="259" w:lineRule="auto"/>
      <w:ind w:left="651" w:hanging="10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59" w:line="253" w:lineRule="auto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小哇是</dc:creator>
  <cp:keywords/>
  <cp:lastModifiedBy>岳建峰</cp:lastModifiedBy>
  <cp:revision>2</cp:revision>
  <dcterms:created xsi:type="dcterms:W3CDTF">2025-03-18T01:38:00Z</dcterms:created>
  <dcterms:modified xsi:type="dcterms:W3CDTF">2025-03-18T01:38:00Z</dcterms:modified>
</cp:coreProperties>
</file>